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70" w:rsidRDefault="0077238E" w:rsidP="0077238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Attestation </w:t>
      </w:r>
      <w:r w:rsidR="00023F70">
        <w:rPr>
          <w:rFonts w:ascii="Arial" w:hAnsi="Arial" w:cs="Arial"/>
          <w:b/>
          <w:caps/>
          <w:sz w:val="28"/>
          <w:szCs w:val="28"/>
        </w:rPr>
        <w:t xml:space="preserve">SUR l’HONNEUR </w:t>
      </w:r>
    </w:p>
    <w:p w:rsidR="00023F70" w:rsidRDefault="00023F70" w:rsidP="0077238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7238E" w:rsidRDefault="00023F70" w:rsidP="0077238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DÉCLARATION D’HEURES INÉLIGIBLES</w:t>
      </w:r>
    </w:p>
    <w:p w:rsidR="001001C8" w:rsidRDefault="001001C8" w:rsidP="001001C8">
      <w:pPr>
        <w:tabs>
          <w:tab w:val="right" w:leader="dot" w:pos="9923"/>
        </w:tabs>
        <w:spacing w:line="280" w:lineRule="exact"/>
        <w:rPr>
          <w:rFonts w:ascii="Arial" w:hAnsi="Arial" w:cs="Arial"/>
          <w:b/>
          <w:sz w:val="22"/>
          <w:szCs w:val="22"/>
        </w:rPr>
      </w:pPr>
    </w:p>
    <w:p w:rsidR="001001C8" w:rsidRPr="001001C8" w:rsidRDefault="001001C8" w:rsidP="001001C8">
      <w:pPr>
        <w:tabs>
          <w:tab w:val="right" w:leader="dot" w:pos="9923"/>
        </w:tabs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Pr="001001C8">
        <w:rPr>
          <w:rFonts w:ascii="Arial" w:hAnsi="Arial" w:cs="Arial"/>
          <w:b/>
          <w:sz w:val="22"/>
          <w:szCs w:val="22"/>
        </w:rPr>
        <w:t xml:space="preserve"> transmettre</w:t>
      </w:r>
      <w:r>
        <w:rPr>
          <w:rFonts w:ascii="Arial" w:hAnsi="Arial" w:cs="Arial"/>
          <w:b/>
          <w:sz w:val="22"/>
          <w:szCs w:val="22"/>
        </w:rPr>
        <w:t xml:space="preserve"> à chaque demande de paiement, dès lors qu’un relevé de temps passé sur l’opération n’est pas </w:t>
      </w:r>
      <w:r w:rsidR="005D5754">
        <w:rPr>
          <w:rFonts w:ascii="Arial" w:hAnsi="Arial" w:cs="Arial"/>
          <w:b/>
          <w:sz w:val="22"/>
          <w:szCs w:val="22"/>
        </w:rPr>
        <w:t>transmis</w:t>
      </w:r>
      <w:bookmarkStart w:id="0" w:name="_GoBack"/>
      <w:bookmarkEnd w:id="0"/>
      <w:r w:rsidR="00FC19D6">
        <w:rPr>
          <w:rFonts w:ascii="Arial" w:hAnsi="Arial" w:cs="Arial"/>
          <w:b/>
          <w:sz w:val="22"/>
          <w:szCs w:val="22"/>
        </w:rPr>
        <w:t>.</w:t>
      </w:r>
    </w:p>
    <w:p w:rsidR="0077238E" w:rsidRDefault="0077238E" w:rsidP="001001C8">
      <w:pPr>
        <w:jc w:val="center"/>
      </w:pPr>
    </w:p>
    <w:p w:rsidR="00023F70" w:rsidRPr="00CB6C59" w:rsidRDefault="00CB6C59" w:rsidP="00023F70">
      <w:pPr>
        <w:tabs>
          <w:tab w:val="righ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  <w:r w:rsidRPr="00CB6C59">
        <w:rPr>
          <w:rFonts w:ascii="Arial" w:hAnsi="Arial" w:cs="Arial"/>
          <w:b/>
          <w:sz w:val="22"/>
          <w:szCs w:val="22"/>
        </w:rPr>
        <w:t>N°</w:t>
      </w:r>
      <w:r w:rsidRPr="00CB6C59">
        <w:rPr>
          <w:b/>
          <w:sz w:val="22"/>
          <w:szCs w:val="22"/>
        </w:rPr>
        <w:t xml:space="preserve"> </w:t>
      </w:r>
      <w:r w:rsidRPr="00CB6C59">
        <w:rPr>
          <w:rFonts w:ascii="Arial" w:hAnsi="Arial" w:cs="Arial"/>
          <w:b/>
          <w:sz w:val="22"/>
          <w:szCs w:val="22"/>
        </w:rPr>
        <w:t xml:space="preserve">dossier OSIRIS : </w:t>
      </w:r>
      <w:r w:rsidR="002D6F15">
        <w:rPr>
          <w:rFonts w:ascii="Arial" w:hAnsi="Arial" w:cs="Arial"/>
          <w:sz w:val="22"/>
          <w:szCs w:val="22"/>
        </w:rPr>
        <w:t>……………………</w:t>
      </w:r>
      <w:r w:rsidR="00FC19D6">
        <w:rPr>
          <w:rFonts w:ascii="Arial" w:hAnsi="Arial" w:cs="Arial"/>
          <w:sz w:val="22"/>
          <w:szCs w:val="22"/>
        </w:rPr>
        <w:t>……</w:t>
      </w:r>
      <w:r w:rsidR="002D6F1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8"/>
      </w:tblGrid>
      <w:tr w:rsidR="0001686C" w:rsidRPr="0001686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248" w:type="dxa"/>
          </w:tcPr>
          <w:p w:rsidR="0001686C" w:rsidRPr="0001686C" w:rsidRDefault="0001686C" w:rsidP="000168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023F70" w:rsidRPr="00CB6C59" w:rsidRDefault="00CB6C59" w:rsidP="00023F70">
      <w:pPr>
        <w:tabs>
          <w:tab w:val="righ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  <w:r w:rsidRPr="00CB6C59">
        <w:rPr>
          <w:rFonts w:ascii="Arial" w:hAnsi="Arial" w:cs="Arial"/>
          <w:b/>
          <w:sz w:val="22"/>
          <w:szCs w:val="22"/>
        </w:rPr>
        <w:t>Libellé de l’opération</w:t>
      </w:r>
      <w:r w:rsidR="00023F70">
        <w:rPr>
          <w:rFonts w:ascii="Arial" w:hAnsi="Arial" w:cs="Arial"/>
          <w:b/>
          <w:sz w:val="22"/>
          <w:szCs w:val="22"/>
        </w:rPr>
        <w:t xml:space="preserve"> : </w:t>
      </w:r>
      <w:r w:rsidR="00023F70" w:rsidRPr="00CB6C59">
        <w:rPr>
          <w:rFonts w:ascii="Arial" w:hAnsi="Arial" w:cs="Arial"/>
          <w:sz w:val="22"/>
          <w:szCs w:val="22"/>
        </w:rPr>
        <w:tab/>
      </w:r>
    </w:p>
    <w:p w:rsidR="00023F70" w:rsidRDefault="00023F70" w:rsidP="00023F70">
      <w:pPr>
        <w:tabs>
          <w:tab w:val="lef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77238E" w:rsidRPr="00CB6C59" w:rsidRDefault="0077238E" w:rsidP="00CB6C59">
      <w:pPr>
        <w:tabs>
          <w:tab w:val="righ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  <w:r w:rsidRPr="00CB6C59">
        <w:rPr>
          <w:rFonts w:ascii="Arial" w:hAnsi="Arial" w:cs="Arial"/>
          <w:sz w:val="22"/>
          <w:szCs w:val="22"/>
        </w:rPr>
        <w:t xml:space="preserve">Je soussigné </w:t>
      </w:r>
      <w:r w:rsidRPr="00CB6C59">
        <w:rPr>
          <w:rFonts w:ascii="Arial" w:hAnsi="Arial" w:cs="Arial"/>
          <w:i/>
          <w:sz w:val="22"/>
          <w:szCs w:val="22"/>
        </w:rPr>
        <w:t>(Nom, Prénom</w:t>
      </w:r>
      <w:r w:rsidRPr="00CB6C59">
        <w:rPr>
          <w:rFonts w:ascii="Arial" w:hAnsi="Arial" w:cs="Arial"/>
          <w:sz w:val="22"/>
          <w:szCs w:val="22"/>
        </w:rPr>
        <w:t>) :</w:t>
      </w:r>
      <w:r w:rsidR="00CB6C59">
        <w:rPr>
          <w:rFonts w:ascii="Arial" w:hAnsi="Arial" w:cs="Arial"/>
          <w:sz w:val="22"/>
          <w:szCs w:val="22"/>
        </w:rPr>
        <w:t xml:space="preserve"> </w:t>
      </w:r>
      <w:r w:rsidRPr="00CB6C59">
        <w:rPr>
          <w:rFonts w:ascii="Arial" w:hAnsi="Arial" w:cs="Arial"/>
          <w:sz w:val="22"/>
          <w:szCs w:val="22"/>
        </w:rPr>
        <w:t xml:space="preserve"> </w:t>
      </w:r>
      <w:r w:rsidRPr="00CB6C59">
        <w:rPr>
          <w:rFonts w:ascii="Arial" w:hAnsi="Arial" w:cs="Arial"/>
          <w:sz w:val="22"/>
          <w:szCs w:val="22"/>
        </w:rPr>
        <w:tab/>
      </w:r>
    </w:p>
    <w:p w:rsidR="00CB6C59" w:rsidRDefault="00CB6C59" w:rsidP="00CB6C59">
      <w:pPr>
        <w:tabs>
          <w:tab w:val="lef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CB6C59" w:rsidRPr="00CB6C59" w:rsidRDefault="00CB6C59" w:rsidP="00CB6C59">
      <w:pPr>
        <w:tabs>
          <w:tab w:val="right" w:leader="dot" w:pos="9923"/>
        </w:tabs>
        <w:spacing w:line="280" w:lineRule="exact"/>
        <w:rPr>
          <w:rFonts w:ascii="Arial" w:hAnsi="Arial" w:cs="Arial"/>
          <w:sz w:val="22"/>
          <w:szCs w:val="22"/>
        </w:rPr>
      </w:pPr>
      <w:r w:rsidRPr="00CB6C59">
        <w:rPr>
          <w:rFonts w:ascii="Arial" w:hAnsi="Arial" w:cs="Arial"/>
          <w:sz w:val="22"/>
          <w:szCs w:val="22"/>
        </w:rPr>
        <w:t>Représentant légal de la structure</w:t>
      </w:r>
      <w:r>
        <w:rPr>
          <w:rFonts w:ascii="Arial" w:hAnsi="Arial" w:cs="Arial"/>
          <w:sz w:val="22"/>
          <w:szCs w:val="22"/>
        </w:rPr>
        <w:t> :</w:t>
      </w:r>
      <w:r w:rsidRPr="00CB6C59">
        <w:rPr>
          <w:rFonts w:ascii="Arial" w:hAnsi="Arial" w:cs="Arial"/>
          <w:sz w:val="22"/>
          <w:szCs w:val="22"/>
        </w:rPr>
        <w:tab/>
      </w:r>
    </w:p>
    <w:p w:rsidR="00CC2D63" w:rsidRDefault="00CC2D63" w:rsidP="00CB6C59">
      <w:pPr>
        <w:spacing w:line="280" w:lineRule="exact"/>
        <w:rPr>
          <w:rFonts w:ascii="Arial" w:hAnsi="Arial" w:cs="Arial"/>
          <w:sz w:val="22"/>
          <w:szCs w:val="22"/>
        </w:rPr>
      </w:pPr>
    </w:p>
    <w:p w:rsidR="00CB6C59" w:rsidRPr="00CB6C59" w:rsidRDefault="0001686C" w:rsidP="0001686C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Atteste </w:t>
      </w:r>
      <w:r w:rsidR="0077238E" w:rsidRPr="00CB6C59">
        <w:rPr>
          <w:rFonts w:ascii="Arial" w:hAnsi="Arial" w:cs="Arial"/>
          <w:sz w:val="22"/>
          <w:szCs w:val="22"/>
        </w:rPr>
        <w:t xml:space="preserve">sur </w:t>
      </w:r>
      <w:r w:rsidR="002D6F15" w:rsidRPr="00CB6C59">
        <w:rPr>
          <w:rFonts w:ascii="Arial" w:hAnsi="Arial" w:cs="Arial"/>
          <w:sz w:val="22"/>
          <w:szCs w:val="22"/>
        </w:rPr>
        <w:t>l’honneur</w:t>
      </w:r>
      <w:r w:rsidR="002D6F15">
        <w:rPr>
          <w:rFonts w:ascii="Arial" w:hAnsi="Arial" w:cs="Arial"/>
          <w:sz w:val="22"/>
          <w:szCs w:val="22"/>
        </w:rPr>
        <w:t xml:space="preserve">, </w:t>
      </w:r>
      <w:r w:rsidR="00CB6C59" w:rsidRPr="00CB6C59">
        <w:rPr>
          <w:rFonts w:ascii="Arial" w:hAnsi="Arial" w:cs="Arial"/>
          <w:sz w:val="22"/>
          <w:szCs w:val="22"/>
        </w:rPr>
        <w:t>que les heures mentionné</w:t>
      </w:r>
      <w:r>
        <w:rPr>
          <w:rFonts w:ascii="Arial" w:hAnsi="Arial" w:cs="Arial"/>
          <w:sz w:val="22"/>
          <w:szCs w:val="22"/>
        </w:rPr>
        <w:t>e</w:t>
      </w:r>
      <w:r w:rsidR="00CB6C59" w:rsidRPr="00CB6C59">
        <w:rPr>
          <w:rFonts w:ascii="Arial" w:hAnsi="Arial" w:cs="Arial"/>
          <w:sz w:val="22"/>
          <w:szCs w:val="22"/>
        </w:rPr>
        <w:t>s ci-après n’ont pas été consacré</w:t>
      </w:r>
      <w:r>
        <w:rPr>
          <w:rFonts w:ascii="Arial" w:hAnsi="Arial" w:cs="Arial"/>
          <w:sz w:val="22"/>
          <w:szCs w:val="22"/>
        </w:rPr>
        <w:t>e</w:t>
      </w:r>
      <w:r w:rsidR="00CB6C59" w:rsidRPr="00CB6C59">
        <w:rPr>
          <w:rFonts w:ascii="Arial" w:hAnsi="Arial" w:cs="Arial"/>
          <w:sz w:val="22"/>
          <w:szCs w:val="22"/>
        </w:rPr>
        <w:t xml:space="preserve">s à l’opération donnant lieu à la subvention FEADER et doivent donc être déduites des heures </w:t>
      </w:r>
      <w:r w:rsidR="00CB6C59">
        <w:rPr>
          <w:rFonts w:ascii="Arial" w:hAnsi="Arial" w:cs="Arial"/>
          <w:sz w:val="22"/>
          <w:szCs w:val="22"/>
        </w:rPr>
        <w:t>éligibles au moment du paiement.</w:t>
      </w:r>
    </w:p>
    <w:p w:rsidR="0077238E" w:rsidRPr="00CB6C59" w:rsidRDefault="0077238E" w:rsidP="00CB6C59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3402"/>
      </w:tblGrid>
      <w:tr w:rsidR="001E0967" w:rsidRPr="001E0967" w:rsidTr="001E0967">
        <w:trPr>
          <w:trHeight w:val="1097"/>
        </w:trPr>
        <w:tc>
          <w:tcPr>
            <w:tcW w:w="2547" w:type="dxa"/>
            <w:shd w:val="clear" w:color="auto" w:fill="DBDBDB" w:themeFill="accent3" w:themeFillTint="66"/>
            <w:vAlign w:val="center"/>
          </w:tcPr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  <w:r w:rsidRPr="001E0967">
              <w:rPr>
                <w:rFonts w:ascii="Arial" w:hAnsi="Arial" w:cs="Arial"/>
                <w:sz w:val="22"/>
                <w:szCs w:val="22"/>
              </w:rPr>
              <w:t>Nom de l’intervenant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  <w:r w:rsidRPr="001E0967">
              <w:rPr>
                <w:rFonts w:ascii="Arial" w:hAnsi="Arial" w:cs="Arial"/>
                <w:sz w:val="22"/>
                <w:szCs w:val="22"/>
              </w:rPr>
              <w:t>Jour</w:t>
            </w:r>
          </w:p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  <w:r w:rsidRPr="001E096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1E0967">
              <w:rPr>
                <w:rFonts w:ascii="Arial" w:hAnsi="Arial" w:cs="Arial"/>
                <w:i/>
                <w:sz w:val="18"/>
                <w:szCs w:val="18"/>
              </w:rPr>
              <w:t>le</w:t>
            </w:r>
            <w:proofErr w:type="gramEnd"/>
            <w:r w:rsidRPr="001E0967">
              <w:rPr>
                <w:rFonts w:ascii="Arial" w:hAnsi="Arial" w:cs="Arial"/>
                <w:i/>
                <w:sz w:val="18"/>
                <w:szCs w:val="18"/>
              </w:rPr>
              <w:t xml:space="preserve"> xx/xx/</w:t>
            </w:r>
            <w:proofErr w:type="spellStart"/>
            <w:r w:rsidRPr="001E0967">
              <w:rPr>
                <w:rFonts w:ascii="Arial" w:hAnsi="Arial" w:cs="Arial"/>
                <w:i/>
                <w:sz w:val="18"/>
                <w:szCs w:val="18"/>
              </w:rPr>
              <w:t>xxxx</w:t>
            </w:r>
            <w:proofErr w:type="spellEnd"/>
            <w:r w:rsidRPr="001E096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1E0967">
              <w:rPr>
                <w:rFonts w:ascii="Arial" w:hAnsi="Arial" w:cs="Arial"/>
                <w:sz w:val="22"/>
                <w:szCs w:val="22"/>
              </w:rPr>
              <w:t xml:space="preserve"> ou période concernée</w:t>
            </w:r>
          </w:p>
          <w:p w:rsidR="001E0967" w:rsidRPr="001E0967" w:rsidRDefault="001E0967" w:rsidP="005D57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096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1E0967">
              <w:rPr>
                <w:rFonts w:ascii="Arial" w:hAnsi="Arial" w:cs="Arial"/>
                <w:i/>
                <w:sz w:val="18"/>
                <w:szCs w:val="18"/>
              </w:rPr>
              <w:t>du</w:t>
            </w:r>
            <w:proofErr w:type="gramEnd"/>
            <w:r w:rsidRPr="001E096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0967">
              <w:rPr>
                <w:rFonts w:ascii="Arial" w:hAnsi="Arial" w:cs="Arial"/>
                <w:i/>
                <w:sz w:val="18"/>
                <w:szCs w:val="18"/>
              </w:rPr>
              <w:t>xx/xx/</w:t>
            </w:r>
            <w:proofErr w:type="spellStart"/>
            <w:r w:rsidRPr="001E0967">
              <w:rPr>
                <w:rFonts w:ascii="Arial" w:hAnsi="Arial" w:cs="Arial"/>
                <w:i/>
                <w:sz w:val="18"/>
                <w:szCs w:val="18"/>
              </w:rPr>
              <w:t>xxxx</w:t>
            </w:r>
            <w:proofErr w:type="spellEnd"/>
            <w:r w:rsidRPr="001E0967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1E0967">
              <w:rPr>
                <w:rFonts w:ascii="Arial" w:hAnsi="Arial" w:cs="Arial"/>
                <w:i/>
                <w:sz w:val="18"/>
                <w:szCs w:val="18"/>
              </w:rPr>
              <w:t xml:space="preserve">au </w:t>
            </w:r>
            <w:r w:rsidRPr="001E0967">
              <w:rPr>
                <w:rFonts w:ascii="Arial" w:hAnsi="Arial" w:cs="Arial"/>
                <w:i/>
                <w:sz w:val="18"/>
                <w:szCs w:val="18"/>
              </w:rPr>
              <w:t>xx/xx/</w:t>
            </w:r>
            <w:proofErr w:type="spellStart"/>
            <w:r w:rsidRPr="001E0967">
              <w:rPr>
                <w:rFonts w:ascii="Arial" w:hAnsi="Arial" w:cs="Arial"/>
                <w:i/>
                <w:sz w:val="18"/>
                <w:szCs w:val="18"/>
              </w:rPr>
              <w:t>xxxx</w:t>
            </w:r>
            <w:proofErr w:type="spellEnd"/>
            <w:r w:rsidRPr="001E096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  <w:r w:rsidRPr="001E0967">
              <w:rPr>
                <w:rFonts w:ascii="Arial" w:hAnsi="Arial" w:cs="Arial"/>
                <w:sz w:val="22"/>
                <w:szCs w:val="22"/>
              </w:rPr>
              <w:t>Nbre d’heures inéligibles</w:t>
            </w:r>
          </w:p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967" w:rsidRPr="001E0967" w:rsidRDefault="001E0967" w:rsidP="005D575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0967">
              <w:rPr>
                <w:rFonts w:ascii="Arial" w:hAnsi="Arial" w:cs="Arial"/>
                <w:i/>
                <w:sz w:val="18"/>
                <w:szCs w:val="18"/>
              </w:rPr>
              <w:t>(1 jour = 7h)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  <w:r w:rsidRPr="001E0967">
              <w:rPr>
                <w:rFonts w:ascii="Arial" w:hAnsi="Arial" w:cs="Arial"/>
                <w:sz w:val="22"/>
                <w:szCs w:val="22"/>
              </w:rPr>
              <w:t>Motifs d’inéligibilité</w:t>
            </w:r>
            <w:r w:rsidRPr="001E0967">
              <w:rPr>
                <w:rFonts w:ascii="Arial" w:hAnsi="Arial" w:cs="Arial"/>
                <w:sz w:val="22"/>
                <w:szCs w:val="22"/>
              </w:rPr>
              <w:t> : c</w:t>
            </w:r>
            <w:r w:rsidRPr="001E0967">
              <w:rPr>
                <w:rFonts w:ascii="Arial" w:hAnsi="Arial" w:cs="Arial"/>
                <w:sz w:val="22"/>
                <w:szCs w:val="22"/>
              </w:rPr>
              <w:t xml:space="preserve">hoisir motif dans liste </w:t>
            </w:r>
            <w:r w:rsidRPr="001E0967">
              <w:rPr>
                <w:rFonts w:ascii="Arial" w:hAnsi="Arial" w:cs="Arial"/>
                <w:sz w:val="22"/>
                <w:szCs w:val="22"/>
              </w:rPr>
              <w:t>en bas de page</w:t>
            </w:r>
            <w:r w:rsidRPr="001E0967">
              <w:rPr>
                <w:rFonts w:ascii="Arial" w:hAnsi="Arial" w:cs="Arial"/>
                <w:sz w:val="16"/>
                <w:szCs w:val="16"/>
              </w:rPr>
              <w:footnoteReference w:id="1"/>
            </w:r>
          </w:p>
          <w:p w:rsidR="001E0967" w:rsidRPr="001E0967" w:rsidRDefault="001E0967" w:rsidP="005D5754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967" w:rsidRPr="001E0967" w:rsidRDefault="001E0967" w:rsidP="005D5754">
            <w:pPr>
              <w:tabs>
                <w:tab w:val="left" w:pos="567"/>
                <w:tab w:val="num" w:pos="993"/>
                <w:tab w:val="num" w:pos="1418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0967">
              <w:rPr>
                <w:rFonts w:ascii="Arial" w:hAnsi="Arial" w:cs="Arial"/>
                <w:i/>
                <w:sz w:val="18"/>
                <w:szCs w:val="18"/>
              </w:rPr>
              <w:t>Les jours de congés et de RTT ne s</w:t>
            </w:r>
            <w:r w:rsidRPr="001E0967">
              <w:rPr>
                <w:rFonts w:ascii="Arial" w:hAnsi="Arial" w:cs="Arial"/>
                <w:i/>
                <w:sz w:val="18"/>
                <w:szCs w:val="18"/>
              </w:rPr>
              <w:t>ont pas à renseigner</w:t>
            </w:r>
          </w:p>
        </w:tc>
      </w:tr>
      <w:tr w:rsidR="001E0967" w:rsidTr="001E0967">
        <w:trPr>
          <w:trHeight w:val="794"/>
        </w:trPr>
        <w:tc>
          <w:tcPr>
            <w:tcW w:w="2547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967" w:rsidTr="001E0967">
        <w:trPr>
          <w:trHeight w:val="794"/>
        </w:trPr>
        <w:tc>
          <w:tcPr>
            <w:tcW w:w="2547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967" w:rsidTr="001E0967">
        <w:trPr>
          <w:trHeight w:val="794"/>
        </w:trPr>
        <w:tc>
          <w:tcPr>
            <w:tcW w:w="2547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967" w:rsidTr="001E0967">
        <w:trPr>
          <w:trHeight w:val="794"/>
        </w:trPr>
        <w:tc>
          <w:tcPr>
            <w:tcW w:w="2547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E0967" w:rsidRDefault="001E0967" w:rsidP="001E0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86C" w:rsidRDefault="0001686C" w:rsidP="0001686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1E0967" w:rsidRDefault="001E0967" w:rsidP="0001686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01686C" w:rsidRPr="0001686C" w:rsidRDefault="0001686C" w:rsidP="0001686C">
      <w:pPr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1686C">
        <w:rPr>
          <w:rFonts w:ascii="Arial" w:eastAsia="Calibri" w:hAnsi="Arial" w:cs="Arial"/>
          <w:sz w:val="22"/>
          <w:szCs w:val="22"/>
          <w:lang w:eastAsia="zh-CN"/>
        </w:rPr>
        <w:t xml:space="preserve">Fait à                   </w:t>
      </w:r>
      <w:proofErr w:type="gramStart"/>
      <w:r w:rsidRPr="0001686C">
        <w:rPr>
          <w:rFonts w:ascii="Arial" w:eastAsia="Calibri" w:hAnsi="Arial" w:cs="Arial"/>
          <w:sz w:val="22"/>
          <w:szCs w:val="22"/>
          <w:lang w:eastAsia="zh-CN"/>
        </w:rPr>
        <w:t xml:space="preserve">  ,</w:t>
      </w:r>
      <w:proofErr w:type="gramEnd"/>
      <w:r w:rsidRPr="0001686C">
        <w:rPr>
          <w:rFonts w:ascii="Arial" w:eastAsia="Calibri" w:hAnsi="Arial" w:cs="Arial"/>
          <w:sz w:val="22"/>
          <w:szCs w:val="22"/>
          <w:lang w:eastAsia="zh-CN"/>
        </w:rPr>
        <w:t xml:space="preserve">      le     /     / </w:t>
      </w:r>
    </w:p>
    <w:p w:rsidR="0001686C" w:rsidRDefault="0001686C" w:rsidP="0001686C">
      <w:pPr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:rsidR="001E0967" w:rsidRPr="0001686C" w:rsidRDefault="001E0967" w:rsidP="0001686C">
      <w:pPr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:rsidR="0001686C" w:rsidRPr="0001686C" w:rsidRDefault="0001686C" w:rsidP="0001686C">
      <w:pPr>
        <w:tabs>
          <w:tab w:val="left" w:pos="6916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Signature et cachet</w:t>
      </w:r>
    </w:p>
    <w:p w:rsidR="00CD31A6" w:rsidRPr="0001686C" w:rsidRDefault="005D5754" w:rsidP="0077238E">
      <w:pPr>
        <w:rPr>
          <w:rFonts w:ascii="Arial" w:hAnsi="Arial" w:cs="Arial"/>
        </w:rPr>
      </w:pPr>
    </w:p>
    <w:sectPr w:rsidR="00CD31A6" w:rsidRPr="0001686C" w:rsidSect="001E0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63" w:rsidRDefault="00CC2D63" w:rsidP="00CC2D63">
      <w:r>
        <w:separator/>
      </w:r>
    </w:p>
  </w:endnote>
  <w:endnote w:type="continuationSeparator" w:id="0">
    <w:p w:rsidR="00CC2D63" w:rsidRDefault="00CC2D63" w:rsidP="00C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63" w:rsidRDefault="00CC2D63" w:rsidP="00CC2D63">
      <w:r>
        <w:separator/>
      </w:r>
    </w:p>
  </w:footnote>
  <w:footnote w:type="continuationSeparator" w:id="0">
    <w:p w:rsidR="00CC2D63" w:rsidRDefault="00CC2D63" w:rsidP="00CC2D63">
      <w:r>
        <w:continuationSeparator/>
      </w:r>
    </w:p>
  </w:footnote>
  <w:footnote w:id="1">
    <w:p w:rsidR="001E0967" w:rsidRDefault="001E0967" w:rsidP="001E0967">
      <w:pPr>
        <w:tabs>
          <w:tab w:val="left" w:pos="567"/>
          <w:tab w:val="num" w:pos="993"/>
          <w:tab w:val="num" w:pos="1418"/>
        </w:tabs>
        <w:spacing w:line="240" w:lineRule="exact"/>
        <w:jc w:val="both"/>
        <w:rPr>
          <w:rFonts w:ascii="Arial" w:hAnsi="Arial" w:cs="Arial"/>
          <w:b/>
          <w:szCs w:val="22"/>
        </w:rPr>
      </w:pPr>
      <w:r>
        <w:rPr>
          <w:rStyle w:val="Appelnotedebasdep"/>
        </w:rPr>
        <w:footnoteRef/>
      </w:r>
      <w:bookmarkStart w:id="1" w:name="_Hlk9868057"/>
      <w:r w:rsidRPr="002D6F15">
        <w:rPr>
          <w:rFonts w:ascii="Arial" w:hAnsi="Arial" w:cs="Arial"/>
          <w:b/>
          <w:szCs w:val="22"/>
        </w:rPr>
        <w:t>Motifs d’inéligibilité</w:t>
      </w:r>
      <w:r>
        <w:rPr>
          <w:rFonts w:ascii="Arial" w:hAnsi="Arial" w:cs="Arial"/>
          <w:szCs w:val="22"/>
        </w:rPr>
        <w:t> :</w:t>
      </w:r>
      <w:r w:rsidRPr="0001686C">
        <w:rPr>
          <w:rFonts w:ascii="Arial" w:hAnsi="Arial" w:cs="Arial"/>
          <w:szCs w:val="22"/>
        </w:rPr>
        <w:t xml:space="preserve"> </w:t>
      </w:r>
      <w:r w:rsidRPr="0001686C">
        <w:rPr>
          <w:rFonts w:ascii="Arial" w:hAnsi="Arial" w:cs="Arial"/>
          <w:szCs w:val="22"/>
        </w:rPr>
        <w:t>a</w:t>
      </w:r>
      <w:r w:rsidRPr="0001686C">
        <w:rPr>
          <w:rFonts w:ascii="Arial" w:hAnsi="Arial" w:cs="Arial"/>
          <w:szCs w:val="22"/>
        </w:rPr>
        <w:t xml:space="preserve">rrêt maladie, </w:t>
      </w:r>
      <w:r w:rsidRPr="0001686C">
        <w:rPr>
          <w:rFonts w:ascii="Arial" w:hAnsi="Arial" w:cs="Arial"/>
          <w:szCs w:val="22"/>
        </w:rPr>
        <w:t>a</w:t>
      </w:r>
      <w:r w:rsidRPr="0001686C">
        <w:rPr>
          <w:rFonts w:ascii="Arial" w:hAnsi="Arial" w:cs="Arial"/>
          <w:szCs w:val="22"/>
        </w:rPr>
        <w:t xml:space="preserve">ccident du travail, </w:t>
      </w:r>
      <w:r w:rsidRPr="0001686C">
        <w:rPr>
          <w:rFonts w:ascii="Arial" w:hAnsi="Arial" w:cs="Arial"/>
          <w:szCs w:val="22"/>
        </w:rPr>
        <w:t>c</w:t>
      </w:r>
      <w:r w:rsidRPr="0001686C">
        <w:rPr>
          <w:rFonts w:ascii="Arial" w:hAnsi="Arial" w:cs="Arial"/>
          <w:szCs w:val="22"/>
        </w:rPr>
        <w:t xml:space="preserve">ongé maternité/paternité, </w:t>
      </w:r>
      <w:r w:rsidRPr="0001686C">
        <w:rPr>
          <w:rFonts w:ascii="Arial" w:hAnsi="Arial" w:cs="Arial"/>
          <w:szCs w:val="22"/>
        </w:rPr>
        <w:t>r</w:t>
      </w:r>
      <w:r w:rsidRPr="002D6F15">
        <w:rPr>
          <w:rFonts w:ascii="Arial" w:hAnsi="Arial" w:cs="Arial"/>
          <w:szCs w:val="22"/>
        </w:rPr>
        <w:t xml:space="preserve">éduction du temps de travail journalier pour les femmes enceintes, </w:t>
      </w:r>
      <w:r w:rsidRPr="0001686C">
        <w:rPr>
          <w:rFonts w:ascii="Arial" w:hAnsi="Arial" w:cs="Arial"/>
          <w:szCs w:val="22"/>
        </w:rPr>
        <w:t>c</w:t>
      </w:r>
      <w:r w:rsidRPr="0001686C">
        <w:rPr>
          <w:rFonts w:ascii="Arial" w:hAnsi="Arial" w:cs="Arial"/>
          <w:szCs w:val="22"/>
        </w:rPr>
        <w:t>ongé parental d'éducation</w:t>
      </w:r>
      <w:r w:rsidRPr="0001686C">
        <w:rPr>
          <w:rFonts w:ascii="Arial" w:hAnsi="Arial" w:cs="Arial"/>
          <w:szCs w:val="22"/>
        </w:rPr>
        <w:t>, g</w:t>
      </w:r>
      <w:r w:rsidRPr="0001686C">
        <w:rPr>
          <w:rFonts w:ascii="Arial" w:hAnsi="Arial" w:cs="Arial"/>
          <w:szCs w:val="22"/>
        </w:rPr>
        <w:t>ardes d'enfant malade</w:t>
      </w:r>
      <w:r w:rsidRPr="0001686C">
        <w:rPr>
          <w:rFonts w:ascii="Arial" w:hAnsi="Arial" w:cs="Arial"/>
          <w:szCs w:val="22"/>
        </w:rPr>
        <w:t>, j</w:t>
      </w:r>
      <w:r w:rsidRPr="0001686C">
        <w:rPr>
          <w:rFonts w:ascii="Arial" w:hAnsi="Arial" w:cs="Arial"/>
          <w:szCs w:val="22"/>
        </w:rPr>
        <w:t>ournées d'absence pour évènements familiaux (préciser déménagement, mariage, décès, etc.)</w:t>
      </w:r>
      <w:r w:rsidRPr="0001686C">
        <w:rPr>
          <w:rFonts w:ascii="Arial" w:hAnsi="Arial" w:cs="Arial"/>
          <w:szCs w:val="22"/>
        </w:rPr>
        <w:t>, j</w:t>
      </w:r>
      <w:r w:rsidRPr="0001686C">
        <w:rPr>
          <w:rFonts w:ascii="Arial" w:hAnsi="Arial" w:cs="Arial"/>
          <w:szCs w:val="22"/>
        </w:rPr>
        <w:t>ours de grève</w:t>
      </w:r>
      <w:r w:rsidRPr="0001686C">
        <w:rPr>
          <w:rFonts w:ascii="Arial" w:hAnsi="Arial" w:cs="Arial"/>
          <w:szCs w:val="22"/>
        </w:rPr>
        <w:t>, j</w:t>
      </w:r>
      <w:r w:rsidRPr="0001686C">
        <w:rPr>
          <w:rFonts w:ascii="Arial" w:hAnsi="Arial" w:cs="Arial"/>
          <w:szCs w:val="22"/>
        </w:rPr>
        <w:t>ours de décharges d’activité de service ou autorisations d’absence (ex : pour mandat syndical ou fonctions électives)</w:t>
      </w:r>
      <w:r w:rsidRPr="0001686C">
        <w:rPr>
          <w:rFonts w:ascii="Arial" w:hAnsi="Arial" w:cs="Arial"/>
          <w:szCs w:val="22"/>
        </w:rPr>
        <w:t>, j</w:t>
      </w:r>
      <w:r w:rsidRPr="0001686C">
        <w:rPr>
          <w:rFonts w:ascii="Arial" w:hAnsi="Arial" w:cs="Arial"/>
          <w:szCs w:val="22"/>
        </w:rPr>
        <w:t>ournées de structure (ex : A.G)</w:t>
      </w:r>
      <w:r w:rsidRPr="0001686C">
        <w:rPr>
          <w:rFonts w:ascii="Arial" w:hAnsi="Arial" w:cs="Arial"/>
          <w:szCs w:val="22"/>
        </w:rPr>
        <w:t>, r</w:t>
      </w:r>
      <w:r w:rsidRPr="0001686C">
        <w:rPr>
          <w:rFonts w:ascii="Arial" w:hAnsi="Arial" w:cs="Arial"/>
          <w:szCs w:val="22"/>
        </w:rPr>
        <w:t>eports de congés</w:t>
      </w:r>
      <w:r w:rsidRPr="0001686C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j</w:t>
      </w:r>
      <w:r w:rsidRPr="0001686C">
        <w:rPr>
          <w:rFonts w:ascii="Arial" w:hAnsi="Arial" w:cs="Arial"/>
          <w:szCs w:val="22"/>
        </w:rPr>
        <w:t>ours de fractionnement</w:t>
      </w:r>
      <w:r>
        <w:rPr>
          <w:rFonts w:ascii="Arial" w:hAnsi="Arial" w:cs="Arial"/>
          <w:szCs w:val="22"/>
        </w:rPr>
        <w:t>, f</w:t>
      </w:r>
      <w:r w:rsidRPr="0001686C">
        <w:rPr>
          <w:rFonts w:ascii="Arial" w:hAnsi="Arial" w:cs="Arial"/>
          <w:szCs w:val="22"/>
        </w:rPr>
        <w:t>ormations sans lien direct avec l'opération</w:t>
      </w:r>
      <w:r>
        <w:rPr>
          <w:rFonts w:ascii="Arial" w:hAnsi="Arial" w:cs="Arial"/>
          <w:szCs w:val="22"/>
        </w:rPr>
        <w:t xml:space="preserve">, </w:t>
      </w:r>
      <w:r w:rsidRPr="0001686C">
        <w:rPr>
          <w:rFonts w:ascii="Arial" w:hAnsi="Arial" w:cs="Arial"/>
          <w:b/>
          <w:szCs w:val="22"/>
        </w:rPr>
        <w:t>autres (à préciser)</w:t>
      </w:r>
      <w:r>
        <w:rPr>
          <w:rFonts w:ascii="Arial" w:hAnsi="Arial" w:cs="Arial"/>
          <w:b/>
          <w:szCs w:val="22"/>
        </w:rPr>
        <w:t>.</w:t>
      </w:r>
    </w:p>
    <w:bookmarkEnd w:id="1"/>
    <w:p w:rsidR="001E0967" w:rsidRDefault="001E0967" w:rsidP="001E0967">
      <w:pPr>
        <w:tabs>
          <w:tab w:val="left" w:pos="567"/>
          <w:tab w:val="num" w:pos="993"/>
          <w:tab w:val="num" w:pos="1418"/>
        </w:tabs>
        <w:spacing w:line="240" w:lineRule="exact"/>
        <w:jc w:val="both"/>
        <w:rPr>
          <w:rFonts w:ascii="Arial" w:hAnsi="Arial" w:cs="Arial"/>
          <w:b/>
          <w:szCs w:val="22"/>
        </w:rPr>
      </w:pPr>
    </w:p>
    <w:p w:rsidR="001E0967" w:rsidRDefault="001E0967" w:rsidP="001E0967">
      <w:pPr>
        <w:tabs>
          <w:tab w:val="left" w:pos="567"/>
          <w:tab w:val="num" w:pos="993"/>
          <w:tab w:val="num" w:pos="1418"/>
        </w:tabs>
        <w:spacing w:line="240" w:lineRule="exact"/>
        <w:jc w:val="both"/>
      </w:pPr>
      <w:r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1E2E"/>
    <w:multiLevelType w:val="multilevel"/>
    <w:tmpl w:val="8B107F4C"/>
    <w:lvl w:ilvl="0">
      <w:numFmt w:val="bullet"/>
      <w:lvlText w:val="-"/>
      <w:lvlJc w:val="left"/>
      <w:pPr>
        <w:tabs>
          <w:tab w:val="num" w:pos="2134"/>
        </w:tabs>
        <w:ind w:left="2134" w:hanging="360"/>
      </w:pPr>
      <w:rPr>
        <w:rFonts w:ascii="Arial" w:eastAsia="Times New Roman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E"/>
    <w:rsid w:val="0001686C"/>
    <w:rsid w:val="00023F70"/>
    <w:rsid w:val="001001C8"/>
    <w:rsid w:val="001D70FA"/>
    <w:rsid w:val="001E0967"/>
    <w:rsid w:val="002D6F15"/>
    <w:rsid w:val="005D5754"/>
    <w:rsid w:val="00714225"/>
    <w:rsid w:val="0077238E"/>
    <w:rsid w:val="00794C10"/>
    <w:rsid w:val="0084792F"/>
    <w:rsid w:val="00A91776"/>
    <w:rsid w:val="00B83E11"/>
    <w:rsid w:val="00CB6C59"/>
    <w:rsid w:val="00CC2D63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8284"/>
  <w15:chartTrackingRefBased/>
  <w15:docId w15:val="{9379284B-2A35-4E84-BB1E-BA1E626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6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C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C5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CC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D6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D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C2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7BF51EB4B5448CC190AC630FD578" ma:contentTypeVersion="6" ma:contentTypeDescription="Crée un document." ma:contentTypeScope="" ma:versionID="3ea8e0fa95ed38d99218dd9914082334">
  <xsd:schema xmlns:xsd="http://www.w3.org/2001/XMLSchema" xmlns:xs="http://www.w3.org/2001/XMLSchema" xmlns:p="http://schemas.microsoft.com/office/2006/metadata/properties" xmlns:ns2="b04400ae-207c-4b7e-86d1-eb8f9cdb3f11" xmlns:ns3="http://schemas.microsoft.com/sharepoint/v4" targetNamespace="http://schemas.microsoft.com/office/2006/metadata/properties" ma:root="true" ma:fieldsID="81c663de57e5726112255da861820f51" ns2:_="" ns3:_="">
    <xsd:import namespace="b04400ae-207c-4b7e-86d1-eb8f9cdb3f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400ae-207c-4b7e-86d1-eb8f9cdb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6A97F68-1F53-4C33-9CDD-0054E3FAA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8C843-AF6D-4E95-87B2-21E89146464B}"/>
</file>

<file path=customXml/itemProps3.xml><?xml version="1.0" encoding="utf-8"?>
<ds:datastoreItem xmlns:ds="http://schemas.openxmlformats.org/officeDocument/2006/customXml" ds:itemID="{30A1D865-5B83-4CE3-B7CC-EB19712B65AC}"/>
</file>

<file path=customXml/itemProps4.xml><?xml version="1.0" encoding="utf-8"?>
<ds:datastoreItem xmlns:ds="http://schemas.openxmlformats.org/officeDocument/2006/customXml" ds:itemID="{BDD948CE-5262-4090-9B5C-C2058854E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Sylvaine</dc:creator>
  <cp:keywords/>
  <dc:description/>
  <cp:lastModifiedBy>ANGELINI Sylvaine</cp:lastModifiedBy>
  <cp:revision>4</cp:revision>
  <dcterms:created xsi:type="dcterms:W3CDTF">2019-05-27T12:17:00Z</dcterms:created>
  <dcterms:modified xsi:type="dcterms:W3CDTF">2019-05-27T14:48:00Z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0x010100BFF37BF51EB4B5448CC190AC630FD578</vt:lpwstr>
  </property>
</Properties>
</file>